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E22875">
            <w:pPr>
              <w:pStyle w:val="ConsPlusTitlePage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303C75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Приказ Министерства образования Пермского края от 09.12.2010 N СЭД-26-01-04-371</w:t>
            </w:r>
            <w:r>
              <w:rPr>
                <w:sz w:val="48"/>
                <w:szCs w:val="48"/>
              </w:rPr>
              <w:br/>
              <w:t>"Об утверждении Порядка расследования и учета несчастных случаев, происшедших во</w:t>
            </w:r>
            <w:r>
              <w:rPr>
                <w:sz w:val="48"/>
                <w:szCs w:val="48"/>
              </w:rPr>
              <w:t xml:space="preserve"> время учебно-воспитательного процесса с учащимися и воспитанниками образовательных учреждений"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303C75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12.07.2016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303C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303C75">
      <w:pPr>
        <w:pStyle w:val="ConsPlusNormal"/>
        <w:jc w:val="both"/>
        <w:outlineLvl w:val="0"/>
      </w:pPr>
    </w:p>
    <w:p w:rsidR="00000000" w:rsidRDefault="00303C75">
      <w:pPr>
        <w:pStyle w:val="ConsPlusTitle"/>
        <w:jc w:val="center"/>
        <w:outlineLvl w:val="0"/>
      </w:pPr>
      <w:r>
        <w:t>МИНИСТЕРСТВО ОБРАЗОВАНИЯ ПЕРМСКОГО КРАЯ</w:t>
      </w:r>
    </w:p>
    <w:p w:rsidR="00000000" w:rsidRDefault="00303C75">
      <w:pPr>
        <w:pStyle w:val="ConsPlusTitle"/>
        <w:jc w:val="center"/>
      </w:pPr>
    </w:p>
    <w:p w:rsidR="00000000" w:rsidRDefault="00303C75">
      <w:pPr>
        <w:pStyle w:val="ConsPlusTitle"/>
        <w:jc w:val="center"/>
      </w:pPr>
      <w:r>
        <w:t>ПРИКАЗ</w:t>
      </w:r>
    </w:p>
    <w:p w:rsidR="00000000" w:rsidRDefault="00303C75">
      <w:pPr>
        <w:pStyle w:val="ConsPlusTitle"/>
        <w:jc w:val="center"/>
      </w:pPr>
      <w:r>
        <w:t>от 9 декабря 2010 г. N СЭД-26-01-04-371</w:t>
      </w:r>
    </w:p>
    <w:p w:rsidR="00000000" w:rsidRDefault="00303C75">
      <w:pPr>
        <w:pStyle w:val="ConsPlusTitle"/>
        <w:jc w:val="center"/>
      </w:pPr>
    </w:p>
    <w:p w:rsidR="00000000" w:rsidRDefault="00303C75">
      <w:pPr>
        <w:pStyle w:val="ConsPlusTitle"/>
        <w:jc w:val="center"/>
      </w:pPr>
      <w:r>
        <w:t>ОБ УТВЕРЖДЕНИИ ПОРЯДКА РАССЛЕДОВАНИЯ И УЧЕТА НЕСЧАСТНЫХ</w:t>
      </w:r>
    </w:p>
    <w:p w:rsidR="00000000" w:rsidRDefault="00303C75">
      <w:pPr>
        <w:pStyle w:val="ConsPlusTitle"/>
        <w:jc w:val="center"/>
      </w:pPr>
      <w:r>
        <w:t>СЛУЧАЕВ, ПРОИСШЕДШИХ ВО ВРЕМЯ УЧЕБНО-ВОСПИТАТЕЛЬНОГО</w:t>
      </w:r>
    </w:p>
    <w:p w:rsidR="00000000" w:rsidRDefault="00303C75">
      <w:pPr>
        <w:pStyle w:val="ConsPlusTitle"/>
        <w:jc w:val="center"/>
      </w:pPr>
      <w:r>
        <w:t>ПРОЦЕССА С УЧАЩИМИСЯ И ВОСПИТАННИКАМИ ОБРАЗОВАТЕЛЬНЫХ</w:t>
      </w:r>
    </w:p>
    <w:p w:rsidR="00000000" w:rsidRDefault="00303C75">
      <w:pPr>
        <w:pStyle w:val="ConsPlusTitle"/>
        <w:jc w:val="center"/>
      </w:pPr>
      <w:r>
        <w:t>УЧРЕЖДЕНИЙ</w:t>
      </w:r>
    </w:p>
    <w:p w:rsidR="00000000" w:rsidRDefault="00303C75">
      <w:pPr>
        <w:pStyle w:val="ConsPlusNormal"/>
        <w:jc w:val="center"/>
      </w:pPr>
    </w:p>
    <w:p w:rsidR="00000000" w:rsidRDefault="00303C75">
      <w:pPr>
        <w:pStyle w:val="ConsPlusNormal"/>
        <w:ind w:firstLine="540"/>
        <w:jc w:val="both"/>
      </w:pPr>
      <w:r>
        <w:t>В целях установления и приведения в соо</w:t>
      </w:r>
      <w:r>
        <w:t xml:space="preserve">тветствие с действующим законодательством порядка расследования и учета несчастных случаев, происшедших во время учебно-воспитательного процесса с учащимися и воспитанниками образовательных учреждений Пермского края, а также во исполнение </w:t>
      </w:r>
      <w:hyperlink r:id="rId9" w:tooltip="Приказ Гособразования СССР от 01.10.1990 N 639 &quot;О введении в действие Положения о расследовании и учете несчастных случаев с учащейся молодежью и воспитанниками в системе Гособразования СССР&quot; (вместе с Положением, утв. ВЦСПС 13.09.1990, Гособразованием СССР 11.09.1990, Примерным перечнем, утв. Приказом Гособразования СССР от 23.04.1990 N 280)------------ Утратил силу или отменен{КонсультантПлюс}" w:history="1">
        <w:r>
          <w:rPr>
            <w:color w:val="0000FF"/>
          </w:rPr>
          <w:t>Приказа</w:t>
        </w:r>
      </w:hyperlink>
      <w:r>
        <w:t xml:space="preserve"> Гособразов</w:t>
      </w:r>
      <w:r>
        <w:t>ания СССР от 1 октября 1990 г. N 639 "О введении в действие Положения о расследовании и учете несчастных случаев с учащейся молодежью и воспитанниками в системе Гособразования СССР" приказываю:</w:t>
      </w: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ar29" w:tooltip="ПОРЯДОК" w:history="1">
        <w:r>
          <w:rPr>
            <w:color w:val="0000FF"/>
          </w:rPr>
          <w:t>Поря</w:t>
        </w:r>
        <w:r>
          <w:rPr>
            <w:color w:val="0000FF"/>
          </w:rPr>
          <w:t>док</w:t>
        </w:r>
      </w:hyperlink>
      <w:r>
        <w:t xml:space="preserve"> расследования и учета несчастных случаев, происшедших во время учебно-воспитательного процесса с учащимися и воспитанниками образовательных учреждений Пермского края.</w:t>
      </w:r>
    </w:p>
    <w:p w:rsidR="00000000" w:rsidRDefault="00303C75">
      <w:pPr>
        <w:pStyle w:val="ConsPlusNormal"/>
        <w:ind w:firstLine="540"/>
        <w:jc w:val="both"/>
      </w:pPr>
      <w:r>
        <w:t>2. Контроль за исполнением приказа оставляю за собой.</w:t>
      </w: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jc w:val="right"/>
      </w:pPr>
      <w:r>
        <w:t>И.о. министра</w:t>
      </w:r>
    </w:p>
    <w:p w:rsidR="00000000" w:rsidRDefault="00303C75">
      <w:pPr>
        <w:pStyle w:val="ConsPlusNormal"/>
        <w:jc w:val="right"/>
      </w:pPr>
      <w:r>
        <w:t>Н.Я.КАРПУШИН</w:t>
      </w: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jc w:val="right"/>
        <w:outlineLvl w:val="0"/>
      </w:pPr>
      <w:r>
        <w:t>УТВЕРЖДЕН</w:t>
      </w:r>
    </w:p>
    <w:p w:rsidR="00000000" w:rsidRDefault="00303C75">
      <w:pPr>
        <w:pStyle w:val="ConsPlusNormal"/>
        <w:jc w:val="right"/>
      </w:pPr>
      <w:r>
        <w:t>Приказом</w:t>
      </w:r>
    </w:p>
    <w:p w:rsidR="00000000" w:rsidRDefault="00303C75">
      <w:pPr>
        <w:pStyle w:val="ConsPlusNormal"/>
        <w:jc w:val="right"/>
      </w:pPr>
      <w:r>
        <w:t>Министерства образования</w:t>
      </w:r>
    </w:p>
    <w:p w:rsidR="00000000" w:rsidRDefault="00303C75">
      <w:pPr>
        <w:pStyle w:val="ConsPlusNormal"/>
        <w:jc w:val="right"/>
      </w:pPr>
      <w:r>
        <w:t>Пермского края</w:t>
      </w:r>
    </w:p>
    <w:p w:rsidR="00000000" w:rsidRDefault="00303C75">
      <w:pPr>
        <w:pStyle w:val="ConsPlusNormal"/>
        <w:jc w:val="right"/>
      </w:pPr>
      <w:r>
        <w:t>от 09.12.2010 N СЭД-26-01-04-371</w:t>
      </w: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Title"/>
        <w:jc w:val="center"/>
      </w:pPr>
      <w:bookmarkStart w:id="1" w:name="Par29"/>
      <w:bookmarkEnd w:id="1"/>
      <w:r>
        <w:t>ПОРЯДОК</w:t>
      </w:r>
    </w:p>
    <w:p w:rsidR="00000000" w:rsidRDefault="00303C75">
      <w:pPr>
        <w:pStyle w:val="ConsPlusTitle"/>
        <w:jc w:val="center"/>
      </w:pPr>
      <w:r>
        <w:t>РАССЛЕДОВАНИЯ И УЧЕТА НЕСЧАСТНЫХ СЛУЧАЕВ, ПРОИСШЕДШИХ</w:t>
      </w:r>
    </w:p>
    <w:p w:rsidR="00000000" w:rsidRDefault="00303C75">
      <w:pPr>
        <w:pStyle w:val="ConsPlusTitle"/>
        <w:jc w:val="center"/>
      </w:pPr>
      <w:r>
        <w:t>ВО ВРЕМЯ УЧЕБНО-ВОСПИТАТЕЛЬНОГО ПРОЦЕССА С УЧАЩИМИСЯ</w:t>
      </w:r>
    </w:p>
    <w:p w:rsidR="00000000" w:rsidRDefault="00303C75">
      <w:pPr>
        <w:pStyle w:val="ConsPlusTitle"/>
        <w:jc w:val="center"/>
      </w:pPr>
      <w:r>
        <w:t xml:space="preserve">И ВОСПИТАННИКАМИ ОБРАЗОВАТЕЛЬНЫХ </w:t>
      </w:r>
      <w:r>
        <w:t>УЧРЕЖДЕНИЙ</w:t>
      </w: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jc w:val="center"/>
        <w:outlineLvl w:val="1"/>
      </w:pPr>
      <w:r>
        <w:t>1. Перечень несчастных случаев, подлежащих расследованию</w:t>
      </w:r>
    </w:p>
    <w:p w:rsidR="00000000" w:rsidRDefault="00303C75">
      <w:pPr>
        <w:pStyle w:val="ConsPlusNormal"/>
        <w:jc w:val="center"/>
      </w:pPr>
      <w:r>
        <w:t>и учету</w:t>
      </w: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ind w:firstLine="540"/>
        <w:jc w:val="both"/>
      </w:pPr>
      <w:r>
        <w:t>1.1. Расследованию и учету подлежат несчастные случаи: травмы, острые отравления, возникшие после воздействия вредных и опасных факторов, травмы из-за нанесения телесных поврежде</w:t>
      </w:r>
      <w:r>
        <w:t>ний другим лицом, поражения молнией, повреждения в результате контакта с представителями фауны и флоры, а также иные повреждения здоровья при авариях и стихийных бедствиях, происшедшие:</w:t>
      </w:r>
    </w:p>
    <w:p w:rsidR="00000000" w:rsidRDefault="00303C75">
      <w:pPr>
        <w:pStyle w:val="ConsPlusNormal"/>
        <w:ind w:firstLine="540"/>
        <w:jc w:val="both"/>
      </w:pPr>
      <w:r>
        <w:t>1.1.1. во время проведения лекций, уроков начальной военной подготовки</w:t>
      </w:r>
      <w:r>
        <w:t>, лабораторных занятий, спортивных, кружковых, внеаудиторных, внеклассных, внешкольных мероприятий, других занятий (в перерывах между ними) в соответствии с учебными, научными и воспитательными планами;</w:t>
      </w:r>
    </w:p>
    <w:p w:rsidR="00000000" w:rsidRDefault="00303C75">
      <w:pPr>
        <w:pStyle w:val="ConsPlusNormal"/>
        <w:ind w:firstLine="540"/>
        <w:jc w:val="both"/>
      </w:pPr>
      <w:r>
        <w:t>1.1.2. при проведении субботника (воскресника), внеау</w:t>
      </w:r>
      <w:r>
        <w:t>диторных, внеклассных, внешкольных и других мероприятий в выходные, праздничные и каникулярные дни, если эти мероприятия осуществлялись под непосредственным руководством работника данного учебного заведения, учреждения (преподавателя, учителя, воспитателя,</w:t>
      </w:r>
      <w:r>
        <w:t xml:space="preserve"> классного руководителя и др.) или лица, назначенного приказом руководителя учреждения;</w:t>
      </w:r>
    </w:p>
    <w:p w:rsidR="00000000" w:rsidRDefault="00303C75">
      <w:pPr>
        <w:pStyle w:val="ConsPlusNormal"/>
        <w:ind w:firstLine="540"/>
        <w:jc w:val="both"/>
      </w:pPr>
      <w:r>
        <w:t xml:space="preserve">1.1.3. во время занятий по трудовому и профессиональному обучению, профессиональной </w:t>
      </w:r>
      <w:r>
        <w:lastRenderedPageBreak/>
        <w:t>ориентации, научно-исследовательских и опытно-конструкторских работ, производственно</w:t>
      </w:r>
      <w:r>
        <w:t>й и учебной практики, общественно полезного, производительного труда, проводимых в соответствии с учебным планом в учебных заведениях и учебно-воспитательных учреждениях или на участках (территориях), им принадлежащих;</w:t>
      </w:r>
    </w:p>
    <w:p w:rsidR="00000000" w:rsidRDefault="00303C75">
      <w:pPr>
        <w:pStyle w:val="ConsPlusNormal"/>
        <w:ind w:firstLine="540"/>
        <w:jc w:val="both"/>
      </w:pPr>
      <w:r>
        <w:t>1.1.4. во время пребывания (отдыха) в студенческих отрядах, лагерях труда и отдыха, школьных лесничествах, на учебно-опытных участках;</w:t>
      </w:r>
    </w:p>
    <w:p w:rsidR="00000000" w:rsidRDefault="00303C75">
      <w:pPr>
        <w:pStyle w:val="ConsPlusNormal"/>
        <w:ind w:firstLine="540"/>
        <w:jc w:val="both"/>
      </w:pPr>
      <w:r>
        <w:t>1.1.5. при проведении спортивных соревнований, тренировок, оздоровительных мероприятий, экскурсий, походов, экспедиций, о</w:t>
      </w:r>
      <w:r>
        <w:t>рганизованных учреждением в установленном порядке;</w:t>
      </w:r>
    </w:p>
    <w:p w:rsidR="00000000" w:rsidRDefault="00303C75">
      <w:pPr>
        <w:pStyle w:val="ConsPlusNormal"/>
        <w:ind w:firstLine="540"/>
        <w:jc w:val="both"/>
      </w:pPr>
      <w:r>
        <w:t>1.1.6. во время перевозок учащихся и воспитанников к месту проведения мероприятий и обратно, а также при организованном следовании их на запланированное мероприятие на общественном транспорте или пешком.</w:t>
      </w: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jc w:val="center"/>
        <w:outlineLvl w:val="1"/>
      </w:pPr>
      <w:r>
        <w:t>2. Схема расследования и учета несчастных случаев</w:t>
      </w: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ind w:firstLine="540"/>
        <w:jc w:val="both"/>
      </w:pPr>
      <w:bookmarkStart w:id="2" w:name="Par47"/>
      <w:bookmarkEnd w:id="2"/>
      <w:r>
        <w:t>2.1. О каждом несчастном случае, происшедшем с учащимся или воспитанником, пострадавший или очевидец несчастного случая немедленно извещает непосредственного руководителя учебно-воспитательного п</w:t>
      </w:r>
      <w:r>
        <w:t>роцесса, который обязан: срочно организовать первую доврачебную помощь пострадавшему и его доставку в здравпункт (медсанчасть) или другое лечебное учреждение, сообщить о происшедшем руководителю учреждения, в отдел охраны труда, при наличии такого, сохрани</w:t>
      </w:r>
      <w:r>
        <w:t>ть до расследования обстановку места происшествия (если это не угрожает жизни и здоровью окружающих и не приведет к аварии).</w:t>
      </w:r>
    </w:p>
    <w:p w:rsidR="00000000" w:rsidRDefault="00303C75">
      <w:pPr>
        <w:pStyle w:val="ConsPlusNormal"/>
        <w:ind w:firstLine="540"/>
        <w:jc w:val="both"/>
      </w:pPr>
      <w:r>
        <w:t xml:space="preserve">Примечание. О несчастном случае, происшедшем во время дальних походов, экскурсий, экспедиций или других мероприятий вне территории </w:t>
      </w:r>
      <w:r>
        <w:t>района (города), руководитель проводимого мероприятия немедленно сообщает также органу управления образованием по месту происшествия.</w:t>
      </w:r>
    </w:p>
    <w:p w:rsidR="00000000" w:rsidRDefault="00303C75">
      <w:pPr>
        <w:pStyle w:val="ConsPlusNormal"/>
        <w:ind w:firstLine="540"/>
        <w:jc w:val="both"/>
      </w:pPr>
      <w:r>
        <w:t>2.2. Руководитель учреждения обязан немедленно принять меры к устранению причин, вызвавших несчастный случай, сообщить о п</w:t>
      </w:r>
      <w:r>
        <w:t>роисшедшем несчастном случае в орган управления образованием, родителям пострадавшего или лицам, представляющим его интересы, и запросить заключение из медицинского учреждения о характере и тяжести повреждения у пострадавшего.</w:t>
      </w:r>
    </w:p>
    <w:p w:rsidR="00000000" w:rsidRDefault="00303C75">
      <w:pPr>
        <w:pStyle w:val="ConsPlusNormal"/>
        <w:ind w:firstLine="540"/>
        <w:jc w:val="both"/>
      </w:pPr>
      <w:r>
        <w:t>2.3. Руководитель органа упра</w:t>
      </w:r>
      <w:r>
        <w:t>вления образованием обязан в течение 1 часа:</w:t>
      </w:r>
    </w:p>
    <w:p w:rsidR="00000000" w:rsidRDefault="00303C75">
      <w:pPr>
        <w:pStyle w:val="ConsPlusNormal"/>
        <w:ind w:firstLine="540"/>
        <w:jc w:val="both"/>
      </w:pPr>
      <w:r>
        <w:t>2.3.1. сообщить о несчастном случае вышестоящему исполнительному органу государственной власти, осуществляющему функции по выработке государственной политики и нормативно-правовому регулированию в сфере образова</w:t>
      </w:r>
      <w:r>
        <w:t>ния Пермского края;</w:t>
      </w:r>
    </w:p>
    <w:p w:rsidR="00000000" w:rsidRDefault="00303C75">
      <w:pPr>
        <w:pStyle w:val="ConsPlusNormal"/>
        <w:ind w:firstLine="540"/>
        <w:jc w:val="both"/>
      </w:pPr>
      <w:r>
        <w:t xml:space="preserve">2.3.2. назначить комиссию по расследованию несчастного случая в составе: председатель комиссии - представитель органа управления образованием, члены комиссии - представитель администрации муниципального образования, отдела охраны труда </w:t>
      </w:r>
      <w:r>
        <w:t>или инспектор по охране труда и здоровья, педагогического коллектива.</w:t>
      </w:r>
    </w:p>
    <w:p w:rsidR="00000000" w:rsidRDefault="00303C75">
      <w:pPr>
        <w:pStyle w:val="ConsPlusNormal"/>
        <w:ind w:firstLine="540"/>
        <w:jc w:val="both"/>
      </w:pPr>
      <w:bookmarkStart w:id="3" w:name="Par53"/>
      <w:bookmarkEnd w:id="3"/>
      <w:r>
        <w:t>2.4. Специальному расследованию подлежат:</w:t>
      </w:r>
    </w:p>
    <w:p w:rsidR="00000000" w:rsidRDefault="00303C75">
      <w:pPr>
        <w:pStyle w:val="ConsPlusNormal"/>
        <w:ind w:firstLine="540"/>
        <w:jc w:val="both"/>
      </w:pPr>
      <w:r>
        <w:t>2.4.1. групповой несчастный случай, происшедший одновременно с двумя или более пострадавшими, независимо от тяжести телесных поврежден</w:t>
      </w:r>
      <w:r>
        <w:t>ий;</w:t>
      </w:r>
    </w:p>
    <w:p w:rsidR="00000000" w:rsidRDefault="00303C75">
      <w:pPr>
        <w:pStyle w:val="ConsPlusNormal"/>
        <w:ind w:firstLine="540"/>
        <w:jc w:val="both"/>
      </w:pPr>
      <w:r>
        <w:t>2.4.2. несчастный случай со смертельным исходом.</w:t>
      </w:r>
    </w:p>
    <w:p w:rsidR="00000000" w:rsidRDefault="00303C75">
      <w:pPr>
        <w:pStyle w:val="ConsPlusNormal"/>
        <w:ind w:firstLine="540"/>
        <w:jc w:val="both"/>
      </w:pPr>
      <w:bookmarkStart w:id="4" w:name="Par56"/>
      <w:bookmarkEnd w:id="4"/>
      <w:r>
        <w:t>2.5. О групповом несчастном случае, несчастном случае со смертельным исходом руководитель учреждения обязан немедленно сообщить:</w:t>
      </w:r>
    </w:p>
    <w:p w:rsidR="00000000" w:rsidRDefault="00303C75">
      <w:pPr>
        <w:pStyle w:val="ConsPlusNormal"/>
        <w:ind w:firstLine="540"/>
        <w:jc w:val="both"/>
      </w:pPr>
      <w:r>
        <w:t>2.5.1. вышестоящему органу управления образованием по подчиненно</w:t>
      </w:r>
      <w:r>
        <w:t>сти;</w:t>
      </w:r>
    </w:p>
    <w:p w:rsidR="00000000" w:rsidRDefault="00303C75">
      <w:pPr>
        <w:pStyle w:val="ConsPlusNormal"/>
        <w:ind w:firstLine="540"/>
        <w:jc w:val="both"/>
      </w:pPr>
      <w:r>
        <w:t>2.5.2. родителям пострадавшего или лицам, представляющим его интересы;</w:t>
      </w:r>
    </w:p>
    <w:p w:rsidR="00000000" w:rsidRDefault="00303C75">
      <w:pPr>
        <w:pStyle w:val="ConsPlusNormal"/>
        <w:ind w:firstLine="540"/>
        <w:jc w:val="both"/>
      </w:pPr>
      <w:r>
        <w:t>2.5.3. в прокуратуру по месту, где произошел несчастный случай.</w:t>
      </w:r>
    </w:p>
    <w:p w:rsidR="00000000" w:rsidRDefault="00303C75">
      <w:pPr>
        <w:pStyle w:val="ConsPlusNormal"/>
        <w:ind w:firstLine="540"/>
        <w:jc w:val="both"/>
      </w:pPr>
      <w:r>
        <w:t>2.6. Руководитель органа управления образованием обязан в течение 1 часа сообщить о групповом несчастном случае, нес</w:t>
      </w:r>
      <w:r>
        <w:t>частном случае со смертельным исходом вышестоящему исполнительному органу государственной власти, осуществляющему функции по выработке государственной политики и нормативно-правовому регулированию в сфере образования Пермского края.</w:t>
      </w:r>
    </w:p>
    <w:p w:rsidR="00000000" w:rsidRDefault="00303C75">
      <w:pPr>
        <w:pStyle w:val="ConsPlusNormal"/>
        <w:ind w:firstLine="540"/>
        <w:jc w:val="both"/>
      </w:pPr>
      <w:r>
        <w:t xml:space="preserve">Сообщения о несчастных </w:t>
      </w:r>
      <w:r>
        <w:t xml:space="preserve">случаях, указанных в </w:t>
      </w:r>
      <w:hyperlink w:anchor="Par47" w:tooltip="2.1. О каждом несчастном случае, происшедшем с учащимся или воспитанником, пострадавший или очевидец несчастного случая немедленно извещает непосредственного руководителя учебно-воспитательного процесса, который обязан: срочно организовать первую доврачебную помощь пострадавшему и его доставку в здравпункт (медсанчасть) или другое лечебное учреждение, сообщить о происшедшем руководителю учреждения, в отдел охраны труда, при наличии такого, сохранить до расследования обстановку места происшествия (если эт..." w:history="1">
        <w:r>
          <w:rPr>
            <w:color w:val="0000FF"/>
          </w:rPr>
          <w:t>п. 2.1</w:t>
        </w:r>
      </w:hyperlink>
      <w:r>
        <w:t xml:space="preserve"> и </w:t>
      </w:r>
      <w:hyperlink w:anchor="Par53" w:tooltip="2.4. Специальному расследованию подлежат:" w:history="1">
        <w:r>
          <w:rPr>
            <w:color w:val="0000FF"/>
          </w:rPr>
          <w:t>п. 2.4</w:t>
        </w:r>
      </w:hyperlink>
      <w:r>
        <w:t xml:space="preserve">, передаются по факсу или электронной почте по схеме согласно </w:t>
      </w:r>
      <w:hyperlink w:anchor="Par88" w:tooltip="СХЕМА СООБЩЕНИЯ" w:history="1">
        <w:r>
          <w:rPr>
            <w:color w:val="0000FF"/>
          </w:rPr>
          <w:t>приложению 1</w:t>
        </w:r>
      </w:hyperlink>
      <w:r>
        <w:t xml:space="preserve"> к настоящему Порядку.</w:t>
      </w:r>
    </w:p>
    <w:p w:rsidR="00000000" w:rsidRDefault="00303C75">
      <w:pPr>
        <w:pStyle w:val="ConsPlusNormal"/>
        <w:ind w:firstLine="540"/>
        <w:jc w:val="both"/>
      </w:pPr>
      <w:r>
        <w:t>Примечание. О групповом несчастном случае, несчастном случае со смертельным исходом, происшедшем во время дальних походов, экскурсий, экспедиций или других мероприятий вне территории района (города), руководитель проводимого мероприя</w:t>
      </w:r>
      <w:r>
        <w:t>тия немедленно сообщает органу управления образованием, прокуратуре по месту происшествия, руководителю учреждения.</w:t>
      </w:r>
    </w:p>
    <w:p w:rsidR="00000000" w:rsidRDefault="00303C75">
      <w:pPr>
        <w:pStyle w:val="ConsPlusNormal"/>
        <w:ind w:firstLine="540"/>
        <w:jc w:val="both"/>
      </w:pPr>
      <w:r>
        <w:t>2.7. Специальное расследование группового несчастного случая и несчастного случая со смертельным исходом проводится комиссией в составе:</w:t>
      </w:r>
    </w:p>
    <w:p w:rsidR="00000000" w:rsidRDefault="00303C75">
      <w:pPr>
        <w:pStyle w:val="ConsPlusNormal"/>
        <w:ind w:firstLine="540"/>
        <w:jc w:val="both"/>
      </w:pPr>
      <w:r>
        <w:lastRenderedPageBreak/>
        <w:t>2.7</w:t>
      </w:r>
      <w:r>
        <w:t>.1. председатель - руководитель органа управления образованием или его заместитель;</w:t>
      </w:r>
    </w:p>
    <w:p w:rsidR="00000000" w:rsidRDefault="00303C75">
      <w:pPr>
        <w:pStyle w:val="ConsPlusNormal"/>
        <w:ind w:firstLine="540"/>
        <w:jc w:val="both"/>
      </w:pPr>
      <w:r>
        <w:t>2.7.2. членов - руководитель или заместитель руководителя учреждения, сотрудник отдела охраны труда или инспектор по охране труда и здоровья органа образования.</w:t>
      </w:r>
    </w:p>
    <w:p w:rsidR="00000000" w:rsidRDefault="00303C75">
      <w:pPr>
        <w:pStyle w:val="ConsPlusNormal"/>
        <w:ind w:firstLine="540"/>
        <w:jc w:val="both"/>
      </w:pPr>
      <w:r>
        <w:t>2.8. Комисс</w:t>
      </w:r>
      <w:r>
        <w:t xml:space="preserve">ия по специальному расследованию немедленно расследует несчастный случай, в течение 10 дней составляет </w:t>
      </w:r>
      <w:hyperlink w:anchor="Par107" w:tooltip="АКТ" w:history="1">
        <w:r>
          <w:rPr>
            <w:color w:val="0000FF"/>
          </w:rPr>
          <w:t>акт</w:t>
        </w:r>
      </w:hyperlink>
      <w:r>
        <w:t xml:space="preserve"> специального расследования по форме согласно приложению 2 к настоящему Порядку, оформляет другие необходимые документ</w:t>
      </w:r>
      <w:r>
        <w:t>ы и материалы.</w:t>
      </w:r>
    </w:p>
    <w:p w:rsidR="00000000" w:rsidRDefault="00303C75">
      <w:pPr>
        <w:pStyle w:val="ConsPlusNormal"/>
        <w:ind w:firstLine="540"/>
        <w:jc w:val="both"/>
      </w:pPr>
      <w:r>
        <w:t xml:space="preserve">2.9. Если у пострадавшего в период временного непосещения учреждения, явившегося следствием несчастного случая, наступила смерть, то руководитель этого учреждения в течение суток обязан сообщить об этом организациям, указанным в </w:t>
      </w:r>
      <w:hyperlink w:anchor="Par56" w:tooltip="2.5. О групповом несчастном случае, несчастном случае со смертельным исходом руководитель учреждения обязан немедленно сообщить:" w:history="1">
        <w:r>
          <w:rPr>
            <w:color w:val="0000FF"/>
          </w:rPr>
          <w:t>пункте 2.5</w:t>
        </w:r>
      </w:hyperlink>
      <w:r>
        <w:t xml:space="preserve"> настоящего Порядка. Специальное расследование по данному несчастному случаю необходимо провести в дес</w:t>
      </w:r>
      <w:r>
        <w:t>ятидневный срок, если оно до этого не проводилось. Учет данного несчастного случая вести с момента наступления смерти.</w:t>
      </w: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jc w:val="center"/>
        <w:outlineLvl w:val="1"/>
      </w:pPr>
      <w:r>
        <w:t>3. Отчетность о несчастных случаях и анализ причин их</w:t>
      </w:r>
    </w:p>
    <w:p w:rsidR="00000000" w:rsidRDefault="00303C75">
      <w:pPr>
        <w:pStyle w:val="ConsPlusNormal"/>
        <w:jc w:val="center"/>
      </w:pPr>
      <w:r>
        <w:t>возникновения</w:t>
      </w: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ind w:firstLine="540"/>
        <w:jc w:val="both"/>
      </w:pPr>
      <w:r>
        <w:t>3.1. Руководитель учреждения обязан обеспечить анализ причин несчастных случаев, происшедших во время учебно-воспитательного процесса, рассмотрение их в коллективах преподавателей, учителей, воспитателей и учащихся, разработку и осуществление мероприятий п</w:t>
      </w:r>
      <w:r>
        <w:t>о профилактике травматизма и предупреждению других несчастных случаев.</w:t>
      </w:r>
    </w:p>
    <w:p w:rsidR="00000000" w:rsidRDefault="00303C75">
      <w:pPr>
        <w:pStyle w:val="ConsPlusNormal"/>
        <w:ind w:firstLine="540"/>
        <w:jc w:val="both"/>
      </w:pPr>
      <w:r>
        <w:t>3.2. Контроль за правильным и своевременным расследованием и учетом несчастных случаев, происшедших с учащимися и воспитанниками во время учебно-воспитательного процесса, а также за вып</w:t>
      </w:r>
      <w:r>
        <w:t>олнением мероприятий по устранению причин, вызвавших несчастный случай, осуществляют органы управления образованием муниципальных образований.</w:t>
      </w:r>
    </w:p>
    <w:p w:rsidR="00000000" w:rsidRDefault="00303C75">
      <w:pPr>
        <w:pStyle w:val="ConsPlusNormal"/>
        <w:ind w:firstLine="540"/>
        <w:jc w:val="both"/>
      </w:pPr>
      <w:r>
        <w:t xml:space="preserve">3.3. Сведения о всех несчастных случаях за прошедший год, зарегистрированные актами, обобщаются в </w:t>
      </w:r>
      <w:hyperlink w:anchor="Par188" w:tooltip="ОТЧЕТ" w:history="1">
        <w:r>
          <w:rPr>
            <w:color w:val="0000FF"/>
          </w:rPr>
          <w:t>отчетности</w:t>
        </w:r>
      </w:hyperlink>
      <w:r>
        <w:t xml:space="preserve"> установленной формы (приложение 3) и с пояснительной запиской (кратким анализом причин несчастных случаев) направляются органом управления образованием муниципального образования в вышестоящий исполнительный орган государствен</w:t>
      </w:r>
      <w:r>
        <w:t>ной власти, осуществляющий функции по выработке государственной политики и нормативно-правовому регулированию в сфере образования Пермского края.</w:t>
      </w: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jc w:val="center"/>
        <w:outlineLvl w:val="1"/>
      </w:pPr>
      <w:r>
        <w:t>4. Ответственность</w:t>
      </w: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ind w:firstLine="540"/>
        <w:jc w:val="both"/>
      </w:pPr>
      <w:r>
        <w:t xml:space="preserve">4.1. Ответственность за обеспечение безопасных условий учебно-воспитательного процесса в </w:t>
      </w:r>
      <w:r>
        <w:t>учреждении несет его руководитель.</w:t>
      </w:r>
    </w:p>
    <w:p w:rsidR="00000000" w:rsidRDefault="00303C75">
      <w:pPr>
        <w:pStyle w:val="ConsPlusNormal"/>
        <w:ind w:firstLine="540"/>
        <w:jc w:val="both"/>
      </w:pPr>
      <w:r>
        <w:t>4.2. Лицо, проводящее мероприятие, несет персональную ответственность за сохранность жизни и здоровья учащихся и воспитанников.</w:t>
      </w:r>
    </w:p>
    <w:p w:rsidR="00000000" w:rsidRDefault="00303C75">
      <w:pPr>
        <w:pStyle w:val="ConsPlusNormal"/>
        <w:ind w:firstLine="540"/>
        <w:jc w:val="both"/>
      </w:pPr>
      <w:r>
        <w:t>4.3. Виновные в нарушении настоящего Порядка, сокрытии происшедшего несчастного случая привле</w:t>
      </w:r>
      <w:r>
        <w:t>каются к ответственности согласно действующему законодательству.</w:t>
      </w: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jc w:val="right"/>
        <w:outlineLvl w:val="1"/>
      </w:pPr>
      <w:r>
        <w:t>Приложение 1</w:t>
      </w:r>
    </w:p>
    <w:p w:rsidR="00000000" w:rsidRDefault="00303C75">
      <w:pPr>
        <w:pStyle w:val="ConsPlusNormal"/>
        <w:jc w:val="center"/>
      </w:pPr>
    </w:p>
    <w:p w:rsidR="00000000" w:rsidRDefault="00303C75">
      <w:pPr>
        <w:pStyle w:val="ConsPlusNormal"/>
        <w:jc w:val="center"/>
      </w:pPr>
      <w:bookmarkStart w:id="5" w:name="Par88"/>
      <w:bookmarkEnd w:id="5"/>
      <w:r>
        <w:t>СХЕМА СООБЩЕНИЯ</w:t>
      </w:r>
    </w:p>
    <w:p w:rsidR="00000000" w:rsidRDefault="00303C75">
      <w:pPr>
        <w:pStyle w:val="ConsPlusNormal"/>
        <w:jc w:val="center"/>
      </w:pPr>
      <w:r>
        <w:t>О НЕСЧАСТНОМ СЛУЧАЕ, ГРУППОВОМ НЕСЧАСТНОМ СЛУЧАЕ, НЕСЧАСТНОМ</w:t>
      </w:r>
    </w:p>
    <w:p w:rsidR="00000000" w:rsidRDefault="00303C75">
      <w:pPr>
        <w:pStyle w:val="ConsPlusNormal"/>
        <w:jc w:val="center"/>
      </w:pPr>
      <w:r>
        <w:t>СЛУЧАЕ СО СМЕРТЕЛЬНЫМ ИСХОДОМ</w:t>
      </w:r>
    </w:p>
    <w:p w:rsidR="00000000" w:rsidRDefault="00303C75">
      <w:pPr>
        <w:pStyle w:val="ConsPlusNormal"/>
        <w:jc w:val="center"/>
      </w:pPr>
      <w:r>
        <w:t>_______________________________________________________</w:t>
      </w:r>
      <w:r>
        <w:t>____</w:t>
      </w:r>
    </w:p>
    <w:p w:rsidR="00000000" w:rsidRDefault="00303C75">
      <w:pPr>
        <w:pStyle w:val="ConsPlusNormal"/>
        <w:jc w:val="center"/>
      </w:pPr>
      <w:r>
        <w:t>(вышестоящий орган управления образованием)</w:t>
      </w: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ind w:firstLine="540"/>
        <w:jc w:val="both"/>
      </w:pPr>
      <w:r>
        <w:t>1. Учреждение (наименование, город, район, село, поселок).</w:t>
      </w:r>
    </w:p>
    <w:p w:rsidR="00000000" w:rsidRDefault="00303C75">
      <w:pPr>
        <w:pStyle w:val="ConsPlusNormal"/>
        <w:ind w:firstLine="540"/>
        <w:jc w:val="both"/>
      </w:pPr>
      <w:r>
        <w:t>2. Дата, время (местное), место происшествия, краткое описание обстоятельств, при которых произошел несчастный случай, и его причины.</w:t>
      </w:r>
    </w:p>
    <w:p w:rsidR="00000000" w:rsidRDefault="00303C75">
      <w:pPr>
        <w:pStyle w:val="ConsPlusNormal"/>
        <w:ind w:firstLine="540"/>
        <w:jc w:val="both"/>
      </w:pPr>
      <w:r>
        <w:t>3. Число пострадавших, в том числе погибших.</w:t>
      </w:r>
    </w:p>
    <w:p w:rsidR="00000000" w:rsidRDefault="00303C75">
      <w:pPr>
        <w:pStyle w:val="ConsPlusNormal"/>
        <w:ind w:firstLine="540"/>
        <w:jc w:val="both"/>
      </w:pPr>
      <w:r>
        <w:t>4. Фамилия, имя, отчество, возраст пострадавшего (погибшего).</w:t>
      </w:r>
    </w:p>
    <w:p w:rsidR="00000000" w:rsidRDefault="00303C75">
      <w:pPr>
        <w:pStyle w:val="ConsPlusNormal"/>
        <w:ind w:firstLine="540"/>
        <w:jc w:val="both"/>
      </w:pPr>
      <w:r>
        <w:t xml:space="preserve">5. Дата, время передачи сообщения, фамилия, должность лица, подписавшего и передавшего </w:t>
      </w:r>
      <w:r>
        <w:lastRenderedPageBreak/>
        <w:t>сообщение.</w:t>
      </w:r>
    </w:p>
    <w:p w:rsidR="00000000" w:rsidRDefault="00303C75">
      <w:pPr>
        <w:pStyle w:val="ConsPlusNormal"/>
        <w:ind w:firstLine="540"/>
        <w:jc w:val="both"/>
      </w:pPr>
      <w:r>
        <w:t>6. Мероприятия по устранению причин несчастного слу</w:t>
      </w:r>
      <w:r>
        <w:t>чая.</w:t>
      </w: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jc w:val="right"/>
        <w:outlineLvl w:val="1"/>
      </w:pPr>
      <w:r>
        <w:t>Приложение 2</w:t>
      </w: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jc w:val="center"/>
      </w:pPr>
      <w:bookmarkStart w:id="6" w:name="Par107"/>
      <w:bookmarkEnd w:id="6"/>
      <w:r>
        <w:t>АКТ</w:t>
      </w:r>
    </w:p>
    <w:p w:rsidR="00000000" w:rsidRDefault="00303C75">
      <w:pPr>
        <w:pStyle w:val="ConsPlusNormal"/>
        <w:jc w:val="center"/>
      </w:pPr>
      <w:r>
        <w:t>СПЕЦИАЛЬНОГО РАССЛЕДОВАНИЯ НЕСЧАСТНОГО СЛУЧАЯ</w:t>
      </w: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nformat"/>
      </w:pPr>
      <w:r>
        <w:t>___________________________________________________________________________</w:t>
      </w:r>
    </w:p>
    <w:p w:rsidR="00000000" w:rsidRDefault="00303C75">
      <w:pPr>
        <w:pStyle w:val="ConsPlusNonformat"/>
      </w:pPr>
      <w:r>
        <w:t xml:space="preserve">                   (группового, со смертельным исходом)</w:t>
      </w:r>
    </w:p>
    <w:p w:rsidR="00000000" w:rsidRDefault="00303C75">
      <w:pPr>
        <w:pStyle w:val="ConsPlusNonformat"/>
      </w:pPr>
      <w:r>
        <w:t>происшедшего "__" ___________ 20__ г.</w:t>
      </w:r>
      <w:r>
        <w:t xml:space="preserve"> в ___ час. ___ мин.</w:t>
      </w:r>
    </w:p>
    <w:p w:rsidR="00000000" w:rsidRDefault="00303C75">
      <w:pPr>
        <w:pStyle w:val="ConsPlusNonformat"/>
      </w:pPr>
      <w:r>
        <w:t>с _________________________________________________________________________</w:t>
      </w:r>
    </w:p>
    <w:p w:rsidR="00000000" w:rsidRDefault="00303C75">
      <w:pPr>
        <w:pStyle w:val="ConsPlusNonformat"/>
      </w:pPr>
      <w:r>
        <w:t xml:space="preserve">                  (фамилия, имя, отчество пострадавшего)</w:t>
      </w:r>
    </w:p>
    <w:p w:rsidR="00000000" w:rsidRDefault="00303C75">
      <w:pPr>
        <w:pStyle w:val="ConsPlusNonformat"/>
      </w:pPr>
      <w:r>
        <w:t>___________________________________________________________________________</w:t>
      </w:r>
    </w:p>
    <w:p w:rsidR="00000000" w:rsidRDefault="00303C75">
      <w:pPr>
        <w:pStyle w:val="ConsPlusNonformat"/>
      </w:pPr>
      <w:r>
        <w:t xml:space="preserve">           (класс, группа,</w:t>
      </w:r>
      <w:r>
        <w:t xml:space="preserve"> наименование учреждения, вышестоящего</w:t>
      </w:r>
    </w:p>
    <w:p w:rsidR="00000000" w:rsidRDefault="00303C75">
      <w:pPr>
        <w:pStyle w:val="ConsPlusNonformat"/>
      </w:pPr>
      <w:r>
        <w:t>___________________________________________________________________________</w:t>
      </w:r>
    </w:p>
    <w:p w:rsidR="00000000" w:rsidRDefault="00303C75">
      <w:pPr>
        <w:pStyle w:val="ConsPlusNonformat"/>
      </w:pPr>
      <w:r>
        <w:t xml:space="preserve">                      органа управления образованием)</w:t>
      </w:r>
    </w:p>
    <w:p w:rsidR="00000000" w:rsidRDefault="00303C75">
      <w:pPr>
        <w:pStyle w:val="ConsPlusNonformat"/>
      </w:pPr>
      <w:r>
        <w:t>Комиссия, назначенная _____________________________________________________</w:t>
      </w:r>
    </w:p>
    <w:p w:rsidR="00000000" w:rsidRDefault="00303C75">
      <w:pPr>
        <w:pStyle w:val="ConsPlusNonformat"/>
      </w:pPr>
      <w:r>
        <w:t xml:space="preserve">           </w:t>
      </w:r>
      <w:r>
        <w:t xml:space="preserve">                  (приказ руководителя органа управления</w:t>
      </w:r>
    </w:p>
    <w:p w:rsidR="00000000" w:rsidRDefault="00303C75">
      <w:pPr>
        <w:pStyle w:val="ConsPlusNonformat"/>
      </w:pPr>
      <w:r>
        <w:t>__________________________________________________________________________,</w:t>
      </w:r>
    </w:p>
    <w:p w:rsidR="00000000" w:rsidRDefault="00303C75">
      <w:pPr>
        <w:pStyle w:val="ConsPlusNonformat"/>
      </w:pPr>
      <w:r>
        <w:t xml:space="preserve">                               образованием)</w:t>
      </w:r>
    </w:p>
    <w:p w:rsidR="00000000" w:rsidRDefault="00303C75">
      <w:pPr>
        <w:pStyle w:val="ConsPlusNonformat"/>
      </w:pPr>
      <w:r>
        <w:t>в составе председателя ____________________________________________________</w:t>
      </w:r>
    </w:p>
    <w:p w:rsidR="00000000" w:rsidRDefault="00303C75">
      <w:pPr>
        <w:pStyle w:val="ConsPlusNonformat"/>
      </w:pPr>
      <w:r>
        <w:t xml:space="preserve">                               (фамилия, имя, отчество, занимаемая</w:t>
      </w:r>
    </w:p>
    <w:p w:rsidR="00000000" w:rsidRDefault="00303C75">
      <w:pPr>
        <w:pStyle w:val="ConsPlusNonformat"/>
      </w:pPr>
      <w:r>
        <w:t>___________________________________________________________________________</w:t>
      </w:r>
    </w:p>
    <w:p w:rsidR="00000000" w:rsidRDefault="00303C75">
      <w:pPr>
        <w:pStyle w:val="ConsPlusNonformat"/>
      </w:pPr>
      <w:r>
        <w:t xml:space="preserve">                         должность, место работы)</w:t>
      </w:r>
    </w:p>
    <w:p w:rsidR="00000000" w:rsidRDefault="00303C75">
      <w:pPr>
        <w:pStyle w:val="ConsPlusNonformat"/>
      </w:pPr>
      <w:r>
        <w:t>и членов комиссии _____________________________________________</w:t>
      </w:r>
      <w:r>
        <w:t>____________</w:t>
      </w:r>
    </w:p>
    <w:p w:rsidR="00000000" w:rsidRDefault="00303C75">
      <w:pPr>
        <w:pStyle w:val="ConsPlusNonformat"/>
      </w:pPr>
      <w:r>
        <w:t xml:space="preserve">                       (фамилия, имя, отчество, занимаемая должность,</w:t>
      </w:r>
    </w:p>
    <w:p w:rsidR="00000000" w:rsidRDefault="00303C75">
      <w:pPr>
        <w:pStyle w:val="ConsPlusNonformat"/>
      </w:pPr>
      <w:r>
        <w:t>___________________________________________________________________________</w:t>
      </w:r>
    </w:p>
    <w:p w:rsidR="00000000" w:rsidRDefault="00303C75">
      <w:pPr>
        <w:pStyle w:val="ConsPlusNonformat"/>
      </w:pPr>
      <w:r>
        <w:t xml:space="preserve">                               место работы)</w:t>
      </w:r>
    </w:p>
    <w:p w:rsidR="00000000" w:rsidRDefault="00303C75">
      <w:pPr>
        <w:pStyle w:val="ConsPlusNonformat"/>
      </w:pPr>
      <w:r>
        <w:t>с участием приглашенных специалистов _______________</w:t>
      </w:r>
      <w:r>
        <w:t>_______________________</w:t>
      </w:r>
    </w:p>
    <w:p w:rsidR="00000000" w:rsidRDefault="00303C75">
      <w:pPr>
        <w:pStyle w:val="ConsPlusNonformat"/>
      </w:pPr>
      <w:r>
        <w:t xml:space="preserve">                                            (фамилия, имя, отчество,</w:t>
      </w:r>
    </w:p>
    <w:p w:rsidR="00000000" w:rsidRDefault="00303C75">
      <w:pPr>
        <w:pStyle w:val="ConsPlusNonformat"/>
      </w:pPr>
      <w:r>
        <w:t>___________________________________________________________________________</w:t>
      </w:r>
    </w:p>
    <w:p w:rsidR="00000000" w:rsidRDefault="00303C75">
      <w:pPr>
        <w:pStyle w:val="ConsPlusNonformat"/>
      </w:pPr>
      <w:r>
        <w:t xml:space="preserve">                    занимаемая должность, место работы)</w:t>
      </w:r>
    </w:p>
    <w:p w:rsidR="00000000" w:rsidRDefault="00303C75">
      <w:pPr>
        <w:pStyle w:val="ConsPlusNonformat"/>
      </w:pPr>
      <w:r>
        <w:t>произвела в период с "__" _____</w:t>
      </w:r>
      <w:r>
        <w:t>_____ по "__" __________ 199_ г. специальное</w:t>
      </w:r>
    </w:p>
    <w:p w:rsidR="00000000" w:rsidRDefault="00303C75">
      <w:pPr>
        <w:pStyle w:val="ConsPlusNonformat"/>
      </w:pPr>
      <w:r>
        <w:t>расследование и составила настоящий Акт.</w:t>
      </w:r>
    </w:p>
    <w:p w:rsidR="00000000" w:rsidRDefault="00303C75">
      <w:pPr>
        <w:pStyle w:val="ConsPlusNormal"/>
        <w:jc w:val="center"/>
      </w:pPr>
    </w:p>
    <w:p w:rsidR="00000000" w:rsidRDefault="00303C75">
      <w:pPr>
        <w:pStyle w:val="ConsPlusNormal"/>
        <w:jc w:val="center"/>
        <w:outlineLvl w:val="2"/>
      </w:pPr>
      <w:bookmarkStart w:id="7" w:name="Par138"/>
      <w:bookmarkEnd w:id="7"/>
      <w:r>
        <w:t xml:space="preserve">I. Сведения о пострадавшем (пострадавших) </w:t>
      </w:r>
      <w:hyperlink w:anchor="Par141" w:tooltip="&lt;*&gt; Если расследуется групповой несчастный случай, то в разделе I Акта специального расследования указываются сведения отдельно по каждому пострадавшему." w:history="1">
        <w:r>
          <w:rPr>
            <w:color w:val="0000FF"/>
          </w:rPr>
          <w:t>&lt;*&gt;</w:t>
        </w:r>
      </w:hyperlink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ind w:firstLine="540"/>
        <w:jc w:val="both"/>
      </w:pPr>
      <w:r>
        <w:t>--------------------------------</w:t>
      </w:r>
    </w:p>
    <w:p w:rsidR="00000000" w:rsidRDefault="00303C75">
      <w:pPr>
        <w:pStyle w:val="ConsPlusNormal"/>
        <w:ind w:firstLine="540"/>
        <w:jc w:val="both"/>
      </w:pPr>
      <w:bookmarkStart w:id="8" w:name="Par141"/>
      <w:bookmarkEnd w:id="8"/>
      <w:r>
        <w:t xml:space="preserve">&lt;*&gt; Если расследуется групповой несчастный случай, то в </w:t>
      </w:r>
      <w:hyperlink w:anchor="Par138" w:tooltip="I. Сведения о пострадавшем (пострадавших) &lt;*&gt;" w:history="1">
        <w:r>
          <w:rPr>
            <w:color w:val="0000FF"/>
          </w:rPr>
          <w:t>разделе I</w:t>
        </w:r>
      </w:hyperlink>
      <w:r>
        <w:t xml:space="preserve"> Акта специального расследования указываются сведения отдельно по каждому пострадавшему.</w:t>
      </w: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ind w:firstLine="540"/>
        <w:jc w:val="both"/>
      </w:pPr>
      <w:r>
        <w:t>Фамилия, имя, отчество, год рождения, класс, группа учреждения, время прохождения обучения, инструктажа, проверки знаний по технике безопасности (правилам поведения).</w:t>
      </w: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jc w:val="center"/>
        <w:outlineLvl w:val="2"/>
      </w:pPr>
      <w:r>
        <w:t>II. Обстоятельства несчастного случая</w:t>
      </w: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nformat"/>
      </w:pPr>
      <w:r>
        <w:t xml:space="preserve">    Несчастный случай с ___________________________________________________</w:t>
      </w:r>
    </w:p>
    <w:p w:rsidR="00000000" w:rsidRDefault="00303C75">
      <w:pPr>
        <w:pStyle w:val="ConsPlusNonformat"/>
      </w:pPr>
      <w:r>
        <w:t xml:space="preserve">                                     (фамилия, имя, отчество)</w:t>
      </w:r>
    </w:p>
    <w:p w:rsidR="00000000" w:rsidRDefault="00303C75">
      <w:pPr>
        <w:pStyle w:val="ConsPlusNonformat"/>
      </w:pPr>
      <w:r>
        <w:t>произошел при ____________________________________________________________.</w:t>
      </w:r>
    </w:p>
    <w:p w:rsidR="00000000" w:rsidRDefault="00303C75">
      <w:pPr>
        <w:pStyle w:val="ConsPlusNonformat"/>
      </w:pPr>
      <w:r>
        <w:t xml:space="preserve">                               (проводимое мероприятие)</w:t>
      </w:r>
    </w:p>
    <w:p w:rsidR="00000000" w:rsidRDefault="00303C75">
      <w:pPr>
        <w:pStyle w:val="ConsPlusNormal"/>
        <w:ind w:firstLine="540"/>
        <w:jc w:val="both"/>
      </w:pPr>
      <w:r>
        <w:t xml:space="preserve">Следует дать краткую характеристику места, где произошел несчастный случай, указать, какие опасные и вредные факторы могли воздействовать на пострадавшего; описать действия пострадавшего и </w:t>
      </w:r>
      <w:r>
        <w:lastRenderedPageBreak/>
        <w:t>других лиц,</w:t>
      </w:r>
      <w:r>
        <w:t xml:space="preserve"> связанных с несчастным случаем, изложить последовательность событий. Указать, что предшествовало несчастному случаю, как протекал учебно-воспитательный процесс, кто руководил этим процессом, что произошло с пострадавшим. Указать характер травмы, степень е</w:t>
      </w:r>
      <w:r>
        <w:t>е тяжести, предварительный диагноз и меры, принятые по оказанию первой помощи пострадавшему.</w:t>
      </w: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jc w:val="center"/>
        <w:outlineLvl w:val="2"/>
      </w:pPr>
      <w:r>
        <w:t>III. Причины несчастного случая</w:t>
      </w: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ind w:firstLine="540"/>
        <w:jc w:val="both"/>
      </w:pPr>
      <w:r>
        <w:t>Следует указать основные технические и организационные причины несчастного случая (допуск к работе необученных или непроинструкти</w:t>
      </w:r>
      <w:r>
        <w:t>рованных лиц, неисправность оборудования, машин, механизмов, отсутствие руководства, надзора за проведением учебно-воспитательного процесса); изложить, какие конкретно требования законодательства о труде, должностных инструкций по безопасному проведению ра</w:t>
      </w:r>
      <w:r>
        <w:t>бот, мероприятий нарушены (дать ссылку на соответствующие статьи, параграфы, пункты), а также нарушения государственных стандартов; указать, какие опасные и вредные факторы превышали допустимые нормы или уровни.</w:t>
      </w: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jc w:val="center"/>
        <w:outlineLvl w:val="2"/>
      </w:pPr>
      <w:r>
        <w:t>IV. Мероприятия по устранению причин несчас</w:t>
      </w:r>
      <w:r>
        <w:t>тного случая</w:t>
      </w: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ind w:firstLine="540"/>
        <w:jc w:val="both"/>
      </w:pPr>
      <w:r>
        <w:t>Мероприятия, предложенные комиссией, могут быть изложены в виде таблицы по прилагаемой форме.</w:t>
      </w:r>
    </w:p>
    <w:p w:rsidR="00000000" w:rsidRDefault="00303C75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320"/>
        <w:gridCol w:w="2520"/>
        <w:gridCol w:w="2400"/>
      </w:tblGrid>
      <w:tr w:rsidR="00000000">
        <w:trPr>
          <w:trHeight w:val="240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</w:pPr>
            <w:r>
              <w:t xml:space="preserve">     Наименование мероприятия    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</w:pPr>
            <w:r>
              <w:t xml:space="preserve">  Срок исполнения  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</w:pPr>
            <w:r>
              <w:t xml:space="preserve">   Исполнитель    </w:t>
            </w:r>
          </w:p>
        </w:tc>
      </w:tr>
      <w:tr w:rsidR="00000000">
        <w:trPr>
          <w:trHeight w:val="240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</w:pPr>
          </w:p>
        </w:tc>
      </w:tr>
    </w:tbl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jc w:val="center"/>
        <w:outlineLvl w:val="2"/>
      </w:pPr>
      <w:r>
        <w:t>V. Заключение комиссии о лицах, допустивших нарушения правил</w:t>
      </w:r>
    </w:p>
    <w:p w:rsidR="00000000" w:rsidRDefault="00303C75">
      <w:pPr>
        <w:pStyle w:val="ConsPlusNormal"/>
        <w:jc w:val="center"/>
      </w:pPr>
      <w:r>
        <w:t>охраны труда и техники безопасности</w:t>
      </w: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ind w:firstLine="540"/>
        <w:jc w:val="both"/>
      </w:pPr>
      <w:r>
        <w:t>В этом разделе следует указать нарушения правил охраны труда и техники безопасности и назвать лиц, ответственных за свои действия и бездействие, которые привели к несчастному случаю, указать статьи, параграфы, пункты за</w:t>
      </w:r>
      <w:r>
        <w:t>коноположений, нормативных документов по охране труда, должностных инструкций, других нормативных документов, не соблюденные этими лицами.</w:t>
      </w:r>
    </w:p>
    <w:p w:rsidR="00000000" w:rsidRDefault="00303C75">
      <w:pPr>
        <w:pStyle w:val="ConsPlusNormal"/>
        <w:ind w:firstLine="540"/>
        <w:jc w:val="both"/>
      </w:pPr>
      <w:r>
        <w:t xml:space="preserve">В заключительной части Акта дается перечень прилагаемых к нему материалов расследования в соответствии с </w:t>
      </w:r>
      <w:hyperlink r:id="rId10" w:tooltip="Приказ Гособразования СССР от 01.10.1990 N 639 &quot;О введении в действие Положения о расследовании и учете несчастных случаев с учащейся молодежью и воспитанниками в системе Гособразования СССР&quot; (вместе с Положением, утв. ВЦСПС 13.09.1990, Гособразованием СССР 11.09.1990, Примерным перечнем, утв. Приказом Гособразования СССР от 23.04.1990 N 280)------------ Утратил силу или отменен{КонсультантПлюс}" w:history="1">
        <w:r>
          <w:rPr>
            <w:color w:val="0000FF"/>
          </w:rPr>
          <w:t>п. 3.5</w:t>
        </w:r>
      </w:hyperlink>
      <w:r>
        <w:t xml:space="preserve"> Положения.</w:t>
      </w: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nformat"/>
      </w:pPr>
      <w:r>
        <w:t>Председатель комиссии _________________________</w:t>
      </w:r>
    </w:p>
    <w:p w:rsidR="00000000" w:rsidRDefault="00303C75">
      <w:pPr>
        <w:pStyle w:val="ConsPlusNonformat"/>
      </w:pPr>
      <w:r>
        <w:t xml:space="preserve">                           (подпись, дата)</w:t>
      </w:r>
    </w:p>
    <w:p w:rsidR="00000000" w:rsidRDefault="00303C75">
      <w:pPr>
        <w:pStyle w:val="ConsPlusNonformat"/>
      </w:pPr>
      <w:r>
        <w:t>Члены комиссии ________________________________</w:t>
      </w:r>
    </w:p>
    <w:p w:rsidR="00000000" w:rsidRDefault="00303C75">
      <w:pPr>
        <w:pStyle w:val="ConsPlusNonformat"/>
      </w:pPr>
      <w:r>
        <w:t xml:space="preserve">                       (подпись, дата)</w:t>
      </w: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jc w:val="right"/>
        <w:outlineLvl w:val="1"/>
      </w:pPr>
      <w:r>
        <w:t>Приложение 3</w:t>
      </w: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nformat"/>
      </w:pPr>
      <w:r>
        <w:t xml:space="preserve">                   Министерство</w:t>
      </w:r>
      <w:r>
        <w:t xml:space="preserve"> (ведомство) _______________________________</w:t>
      </w:r>
    </w:p>
    <w:p w:rsidR="00000000" w:rsidRDefault="00303C75">
      <w:pPr>
        <w:pStyle w:val="ConsPlusNonformat"/>
      </w:pPr>
      <w:r>
        <w:t xml:space="preserve">                   Учреждение (орган управления образованием) _____________</w:t>
      </w:r>
    </w:p>
    <w:p w:rsidR="00000000" w:rsidRDefault="00303C75">
      <w:pPr>
        <w:pStyle w:val="ConsPlusNonformat"/>
      </w:pPr>
      <w:r>
        <w:t xml:space="preserve">                   Адрес __________________________________________________</w:t>
      </w: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jc w:val="center"/>
      </w:pPr>
      <w:bookmarkStart w:id="9" w:name="Par188"/>
      <w:bookmarkEnd w:id="9"/>
      <w:r>
        <w:t>ОТЧЕТ</w:t>
      </w:r>
    </w:p>
    <w:p w:rsidR="00000000" w:rsidRDefault="00303C75">
      <w:pPr>
        <w:pStyle w:val="ConsPlusNormal"/>
        <w:jc w:val="center"/>
      </w:pPr>
      <w:r>
        <w:t>О НЕСЧАСТНЫХ СЛУЧАЯХ С УЧАЩИМИСЯ (ВОСПИТАННИКАМИ) ВО ВРЕМЯ</w:t>
      </w:r>
    </w:p>
    <w:p w:rsidR="00000000" w:rsidRDefault="00303C75">
      <w:pPr>
        <w:pStyle w:val="ConsPlusNormal"/>
        <w:jc w:val="center"/>
      </w:pPr>
      <w:r>
        <w:t>УЧЕБНО-ВОСПИТАТЕЛЬНОГО ПРОЦЕССА ЗА 20___ Г.</w:t>
      </w: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nformat"/>
      </w:pPr>
      <w:r>
        <w:t xml:space="preserve">    Среднесписочная численность учащихся (воспитанников) __________________</w:t>
      </w:r>
    </w:p>
    <w:p w:rsidR="00000000" w:rsidRDefault="00303C75">
      <w:pPr>
        <w:pStyle w:val="ConsPlusNonformat"/>
      </w:pPr>
      <w:r>
        <w:t xml:space="preserve">    Всего несчастных случаев ______________________________________________</w:t>
      </w:r>
    </w:p>
    <w:p w:rsidR="00000000" w:rsidRDefault="00303C75">
      <w:pPr>
        <w:pStyle w:val="ConsPlusNonformat"/>
      </w:pPr>
      <w:r>
        <w:t xml:space="preserve">                                      (оформлено актами Н-1 и </w:t>
      </w:r>
      <w:hyperlink r:id="rId11" w:tooltip="Приказ Гособразования СССР от 01.10.1990 N 639 &quot;О введении в действие Положения о расследовании и учете несчастных случаев с учащейся молодежью и воспитанниками в системе Гособразования СССР&quot; (вместе с Положением, утв. ВЦСПС 13.09.1990, Гособразованием СССР 11.09.1990, Примерным перечнем, утв. Приказом Гособразования СССР от 23.04.1990 N 280)------------ Утратил силу или отменен{КонсультантПлюс}" w:history="1">
        <w:r>
          <w:rPr>
            <w:color w:val="0000FF"/>
          </w:rPr>
          <w:t>Н-2</w:t>
        </w:r>
      </w:hyperlink>
      <w:r>
        <w:t>)</w:t>
      </w:r>
    </w:p>
    <w:p w:rsidR="00000000" w:rsidRDefault="00303C75">
      <w:pPr>
        <w:pStyle w:val="ConsPlusNonformat"/>
        <w:sectPr w:rsidR="00000000">
          <w:headerReference w:type="default" r:id="rId12"/>
          <w:footerReference w:type="default" r:id="rId13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jc w:val="center"/>
      </w:pPr>
      <w:r>
        <w:t>СВЕДЕНИЯ</w:t>
      </w:r>
    </w:p>
    <w:p w:rsidR="00000000" w:rsidRDefault="00303C75">
      <w:pPr>
        <w:pStyle w:val="ConsPlusNormal"/>
        <w:jc w:val="center"/>
      </w:pPr>
      <w:r>
        <w:t>О ПОСТРАДАВШИХ ВО ВРЕМЯ УЧЕБНО-ВОСПИТАТЕЛЬНОГО ПРОЦЕССА</w:t>
      </w:r>
    </w:p>
    <w:p w:rsidR="00000000" w:rsidRDefault="00303C75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0"/>
        <w:gridCol w:w="1584"/>
        <w:gridCol w:w="504"/>
        <w:gridCol w:w="504"/>
        <w:gridCol w:w="576"/>
        <w:gridCol w:w="504"/>
        <w:gridCol w:w="504"/>
        <w:gridCol w:w="576"/>
        <w:gridCol w:w="504"/>
        <w:gridCol w:w="504"/>
        <w:gridCol w:w="576"/>
        <w:gridCol w:w="504"/>
        <w:gridCol w:w="504"/>
        <w:gridCol w:w="576"/>
        <w:gridCol w:w="504"/>
        <w:gridCol w:w="504"/>
        <w:gridCol w:w="576"/>
        <w:gridCol w:w="504"/>
        <w:gridCol w:w="504"/>
        <w:gridCol w:w="576"/>
        <w:gridCol w:w="504"/>
        <w:gridCol w:w="504"/>
        <w:gridCol w:w="576"/>
        <w:gridCol w:w="504"/>
        <w:gridCol w:w="504"/>
        <w:gridCol w:w="576"/>
      </w:tblGrid>
      <w:tr w:rsidR="00000000">
        <w:trPr>
          <w:trHeight w:val="140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N 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п/п</w:t>
            </w:r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Вид деятельности  </w:t>
            </w:r>
          </w:p>
        </w:tc>
        <w:tc>
          <w:tcPr>
            <w:tcW w:w="1267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Число пострадавших (получивших инвалидность, погибших) учащихся (воспитанников)                                     </w:t>
            </w:r>
          </w:p>
        </w:tc>
      </w:tr>
      <w:tr w:rsidR="00000000">
        <w:tc>
          <w:tcPr>
            <w:tcW w:w="3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rmal"/>
              <w:ind w:firstLine="540"/>
              <w:jc w:val="both"/>
            </w:pPr>
          </w:p>
        </w:tc>
        <w:tc>
          <w:tcPr>
            <w:tcW w:w="15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rmal"/>
              <w:ind w:firstLine="540"/>
              <w:jc w:val="both"/>
            </w:pPr>
          </w:p>
        </w:tc>
        <w:tc>
          <w:tcPr>
            <w:tcW w:w="158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Вуз        </w:t>
            </w:r>
          </w:p>
        </w:tc>
        <w:tc>
          <w:tcPr>
            <w:tcW w:w="158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Техникум,     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педучилище    </w:t>
            </w:r>
          </w:p>
        </w:tc>
        <w:tc>
          <w:tcPr>
            <w:tcW w:w="158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Школа       </w:t>
            </w:r>
          </w:p>
        </w:tc>
        <w:tc>
          <w:tcPr>
            <w:tcW w:w="158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ПТУ        </w:t>
            </w:r>
          </w:p>
        </w:tc>
        <w:tc>
          <w:tcPr>
            <w:tcW w:w="158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Межшкольные    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учебно-произв.  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комбинаты,    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мастерские, заводы</w:t>
            </w:r>
          </w:p>
        </w:tc>
        <w:tc>
          <w:tcPr>
            <w:tcW w:w="158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Внешкольные    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учреждения    </w:t>
            </w:r>
          </w:p>
        </w:tc>
        <w:tc>
          <w:tcPr>
            <w:tcW w:w="158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Детские дошкольные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учреждения    </w:t>
            </w:r>
          </w:p>
        </w:tc>
        <w:tc>
          <w:tcPr>
            <w:tcW w:w="158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ИТО</w:t>
            </w:r>
            <w:r>
              <w:rPr>
                <w:sz w:val="12"/>
                <w:szCs w:val="12"/>
              </w:rPr>
              <w:t xml:space="preserve">ГО       </w:t>
            </w:r>
          </w:p>
        </w:tc>
      </w:tr>
      <w:tr w:rsidR="00000000">
        <w:tc>
          <w:tcPr>
            <w:tcW w:w="3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rmal"/>
              <w:ind w:firstLine="540"/>
              <w:jc w:val="both"/>
            </w:pPr>
          </w:p>
        </w:tc>
        <w:tc>
          <w:tcPr>
            <w:tcW w:w="15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rmal"/>
              <w:ind w:firstLine="540"/>
              <w:jc w:val="both"/>
            </w:pP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всего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инва-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лидов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погиб-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ших   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всего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инва-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лидов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погиб-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ших   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всего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инва-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лидов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погиб-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ших   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всего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инва-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лидов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погиб-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ших   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всего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инва-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лидов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погиб-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ших   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всего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инва-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лидов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погиб-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ших   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всего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инва-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лидов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погиб-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ших   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всего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инва-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лидов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погиб-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ших   </w:t>
            </w:r>
          </w:p>
        </w:tc>
      </w:tr>
      <w:tr w:rsidR="00000000">
        <w:trPr>
          <w:trHeight w:val="140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2          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3  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4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5   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6  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7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8   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9  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10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11  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12  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13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14  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15  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16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17  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18  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19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20  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21  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22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23  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24  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25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26  </w:t>
            </w:r>
          </w:p>
        </w:tc>
      </w:tr>
      <w:tr w:rsidR="00000000">
        <w:trPr>
          <w:trHeight w:val="140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 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2 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3 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4 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5 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6 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7 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8 </w:t>
            </w:r>
          </w:p>
        </w:tc>
        <w:tc>
          <w:tcPr>
            <w:tcW w:w="15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Учебные занятия,    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уроки, игра,        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лабораторные работы 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Производственная    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практика, предметно-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практическая        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деятельность        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Уроки трудового и   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профессионального   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обучения            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Летние студенческие 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отряды, трудовые    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</w:t>
            </w:r>
            <w:r>
              <w:rPr>
                <w:sz w:val="12"/>
                <w:szCs w:val="12"/>
              </w:rPr>
              <w:t xml:space="preserve">динения и др.   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Сельскохозяйственные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работы              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Спортивные занятия, 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соревнования,       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тренировки,         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закаливания         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Экскурсии, походы,  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экспедиции, прогулки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Другие виды         </w:t>
            </w:r>
          </w:p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деятельности        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03C75">
            <w:pPr>
              <w:pStyle w:val="ConsPlusNonformat"/>
              <w:rPr>
                <w:sz w:val="12"/>
                <w:szCs w:val="12"/>
              </w:rPr>
            </w:pPr>
          </w:p>
        </w:tc>
      </w:tr>
    </w:tbl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ind w:firstLine="540"/>
        <w:jc w:val="both"/>
      </w:pPr>
      <w:r>
        <w:t>Число учебных заведений, учебно-воспитательных учреждений, по которым составлен отчет _____________________________</w:t>
      </w: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nformat"/>
      </w:pPr>
      <w:r>
        <w:t xml:space="preserve">    Руководитель органа управления</w:t>
      </w:r>
    </w:p>
    <w:p w:rsidR="00000000" w:rsidRDefault="00303C75">
      <w:pPr>
        <w:pStyle w:val="ConsPlusNonformat"/>
      </w:pPr>
      <w:r>
        <w:t xml:space="preserve">    образованием _______________________</w:t>
      </w:r>
    </w:p>
    <w:p w:rsidR="00000000" w:rsidRDefault="00303C75">
      <w:pPr>
        <w:pStyle w:val="ConsPlusNonformat"/>
      </w:pPr>
      <w:r>
        <w:t xml:space="preserve">                       (подпись)</w:t>
      </w:r>
    </w:p>
    <w:p w:rsidR="00000000" w:rsidRDefault="00303C75">
      <w:pPr>
        <w:pStyle w:val="ConsPlusNonformat"/>
      </w:pPr>
      <w:r>
        <w:t xml:space="preserve">    __________________________</w:t>
      </w:r>
      <w:r>
        <w:t>______________</w:t>
      </w:r>
    </w:p>
    <w:p w:rsidR="00000000" w:rsidRDefault="00303C75">
      <w:pPr>
        <w:pStyle w:val="ConsPlusNonformat"/>
      </w:pPr>
      <w:r>
        <w:t xml:space="preserve">       (фамилия и N телефона исполнителя)</w:t>
      </w:r>
    </w:p>
    <w:p w:rsidR="00000000" w:rsidRDefault="00303C75">
      <w:pPr>
        <w:pStyle w:val="ConsPlusNormal"/>
        <w:ind w:firstLine="540"/>
        <w:jc w:val="both"/>
      </w:pPr>
    </w:p>
    <w:p w:rsidR="00000000" w:rsidRDefault="00303C75">
      <w:pPr>
        <w:pStyle w:val="ConsPlusNormal"/>
        <w:ind w:firstLine="540"/>
        <w:jc w:val="both"/>
      </w:pPr>
    </w:p>
    <w:p w:rsidR="00303C75" w:rsidRDefault="00303C75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sectPr w:rsidR="00303C75">
      <w:headerReference w:type="default" r:id="rId14"/>
      <w:footerReference w:type="default" r:id="rId15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C75" w:rsidRDefault="00303C75">
      <w:pPr>
        <w:spacing w:after="0" w:line="240" w:lineRule="auto"/>
      </w:pPr>
      <w:r>
        <w:separator/>
      </w:r>
    </w:p>
  </w:endnote>
  <w:endnote w:type="continuationSeparator" w:id="0">
    <w:p w:rsidR="00303C75" w:rsidRDefault="00303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03C7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03C75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03C75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03C75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E22875">
            <w:fldChar w:fldCharType="separate"/>
          </w:r>
          <w:r w:rsidR="00E22875">
            <w:rPr>
              <w:noProof/>
            </w:rPr>
            <w:t>6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E22875">
            <w:fldChar w:fldCharType="separate"/>
          </w:r>
          <w:r w:rsidR="00E22875">
            <w:rPr>
              <w:noProof/>
            </w:rPr>
            <w:t>6</w:t>
          </w:r>
          <w:r>
            <w:fldChar w:fldCharType="end"/>
          </w:r>
        </w:p>
      </w:tc>
    </w:tr>
  </w:tbl>
  <w:p w:rsidR="00000000" w:rsidRDefault="00303C75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03C7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03C75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03C75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03C75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E22875">
            <w:fldChar w:fldCharType="separate"/>
          </w:r>
          <w:r w:rsidR="00E22875">
            <w:rPr>
              <w:noProof/>
            </w:rPr>
            <w:t>7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E22875">
            <w:fldChar w:fldCharType="separate"/>
          </w:r>
          <w:r w:rsidR="00E22875">
            <w:rPr>
              <w:noProof/>
            </w:rPr>
            <w:t>7</w:t>
          </w:r>
          <w:r>
            <w:fldChar w:fldCharType="end"/>
          </w:r>
        </w:p>
      </w:tc>
    </w:tr>
  </w:tbl>
  <w:p w:rsidR="00000000" w:rsidRDefault="00303C75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C75" w:rsidRDefault="00303C75">
      <w:pPr>
        <w:spacing w:after="0" w:line="240" w:lineRule="auto"/>
      </w:pPr>
      <w:r>
        <w:separator/>
      </w:r>
    </w:p>
  </w:footnote>
  <w:footnote w:type="continuationSeparator" w:id="0">
    <w:p w:rsidR="00303C75" w:rsidRDefault="00303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03C75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Министерства образования Пермского края от 09.12.2010 N СЭД-26-01-04-371</w:t>
          </w:r>
          <w:r>
            <w:rPr>
              <w:sz w:val="16"/>
              <w:szCs w:val="16"/>
            </w:rPr>
            <w:br/>
            <w:t>"Об утверждении Порядка расследования и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03C75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303C75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03C75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12.07.2016</w:t>
          </w:r>
        </w:p>
      </w:tc>
    </w:tr>
  </w:tbl>
  <w:p w:rsidR="00000000" w:rsidRDefault="00303C7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303C75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03C75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Министерства образования Пермского края от 09.12.2010 N СЭД-26-01-04-371</w:t>
          </w:r>
          <w:r>
            <w:rPr>
              <w:sz w:val="16"/>
              <w:szCs w:val="16"/>
            </w:rPr>
            <w:br/>
            <w:t>"Об утверждении Порядка расследования и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03C75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303C75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03C75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>Документ предоста</w:t>
          </w:r>
          <w:r>
            <w:rPr>
              <w:sz w:val="18"/>
              <w:szCs w:val="18"/>
            </w:rPr>
            <w:t xml:space="preserve">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12.07.2016</w:t>
          </w:r>
        </w:p>
      </w:tc>
    </w:tr>
  </w:tbl>
  <w:p w:rsidR="00000000" w:rsidRDefault="00303C7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303C7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75"/>
    <w:rsid w:val="00303C75"/>
    <w:rsid w:val="00E2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733394F7AD00187ECED770FE2260F0D6DF4BCDA97616E4149706527BDFA0C1720BABA00236F76v5QBJ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D733394F7AD00187ECED770FE2260F0D6DF4BCDA97616E4149706527BDFA0C1720BABA00236E7Dv5Q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33394F7AD00187ECED770FE2260F0D6DF4BCDA97616E4149706527vBQDJ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3028</Words>
  <Characters>17264</Characters>
  <Application>Microsoft Office Word</Application>
  <DocSecurity>2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образования Пермского края от 09.12.2010 N СЭД-26-01-04-371"Об утверждении Порядка расследования и учета несчастных случаев, происшедших во время учебно-воспитательного процесса с учащимися и воспитанниками образовательных учреждений"</vt:lpstr>
    </vt:vector>
  </TitlesOfParts>
  <Company>КонсультантПлюс Версия 4015.00.08</Company>
  <LinksUpToDate>false</LinksUpToDate>
  <CharactersWithSpaces>20252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Пермского края от 09.12.2010 N СЭД-26-01-04-371"Об утверждении Порядка расследования и учета несчастных случаев, происшедших во время учебно-воспитательного процесса с учащимися и воспитанниками образовательных учреждений"</dc:title>
  <dc:creator>Konstantin</dc:creator>
  <cp:lastModifiedBy>Konstantin</cp:lastModifiedBy>
  <cp:revision>2</cp:revision>
  <dcterms:created xsi:type="dcterms:W3CDTF">2016-10-13T17:40:00Z</dcterms:created>
  <dcterms:modified xsi:type="dcterms:W3CDTF">2016-10-13T17:40:00Z</dcterms:modified>
</cp:coreProperties>
</file>